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43" w:rsidRPr="00300A9B" w:rsidRDefault="00512243" w:rsidP="00512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Примерный перечень вопросов для итогового государственного экзамена по направлению </w:t>
      </w:r>
      <w:r w:rsidRPr="00300A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35.04.04 «Агрономия» магистерской программе </w:t>
      </w:r>
    </w:p>
    <w:p w:rsidR="00512243" w:rsidRPr="00300A9B" w:rsidRDefault="00512243" w:rsidP="00512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«Агрохимические основы управления питанием растений и плодородием </w:t>
      </w:r>
    </w:p>
    <w:p w:rsidR="00512243" w:rsidRDefault="00512243" w:rsidP="00512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b/>
          <w:sz w:val="24"/>
          <w:szCs w:val="24"/>
          <w:lang w:eastAsia="ru-RU"/>
        </w:rPr>
        <w:t>почвы»</w:t>
      </w:r>
    </w:p>
    <w:p w:rsidR="00572149" w:rsidRPr="00300A9B" w:rsidRDefault="00572149" w:rsidP="00512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2022-2023 учебный год</w:t>
      </w:r>
    </w:p>
    <w:p w:rsidR="00512243" w:rsidRPr="00300A9B" w:rsidRDefault="00512243" w:rsidP="00512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243" w:rsidRPr="00300A9B" w:rsidRDefault="00051B19" w:rsidP="0051224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A9B">
        <w:rPr>
          <w:rFonts w:ascii="Times New Roman" w:hAnsi="Times New Roman"/>
          <w:b/>
          <w:sz w:val="24"/>
          <w:szCs w:val="24"/>
        </w:rPr>
        <w:t xml:space="preserve">Теоретические вопросы </w:t>
      </w:r>
      <w:r w:rsidRPr="00300A9B">
        <w:rPr>
          <w:rFonts w:ascii="Times New Roman" w:hAnsi="Times New Roman"/>
          <w:b/>
          <w:sz w:val="24"/>
          <w:szCs w:val="24"/>
          <w:lang w:eastAsia="ru-RU"/>
        </w:rPr>
        <w:t>общих дисциплин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Сущность, цели и задачи </w:t>
      </w:r>
      <w:proofErr w:type="gramStart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бизнес-планирования</w:t>
      </w:r>
      <w:proofErr w:type="gramEnd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Этапы разработки и структура бизнес-плана.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Источники финансирования бизнес-плана.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Система показателей оценки эффективности бизнес-плана.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Методология развития и смены систем земледелия. 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Понятия о системах земледелия и требования, предъявляемые к современным системам земледелия.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Основные этапы развития земледелия Ставрополья.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Законы земледелия и их реализация при сельскохозяйственном возделывании культур.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Проблемы современного сельскохозяйственного производства. 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Современные тенденции совершенствования элементов земледелия.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Вклад отечественных и зарубежных ученых в развитие агрономии. 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spellStart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Цифровизация</w:t>
      </w:r>
      <w:proofErr w:type="spellEnd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 технологических процессов в земледелии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Инновации и инновационная деятельность в АПК. Значение инновационных технологий в агрономии.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Факторы, ограничивающие продуктивность сельскохозяйственных культур и пути их компенсации за счет использования инновационных достижений науки.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Технологии возделывания сельскохозяйственных культур в системе точного земледелия. 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spellStart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Агротехнологии</w:t>
      </w:r>
      <w:proofErr w:type="spellEnd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 как механизм управления продукционным процессом сельскохозяйственных культур в </w:t>
      </w:r>
      <w:proofErr w:type="spellStart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агроценозах</w:t>
      </w:r>
      <w:proofErr w:type="spellEnd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. 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Пути совершенствования технологий возделывания сельскохозяйственных культур в связи с региональным изменением климата.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Основные принципы возделывания сельскохозяйственных культур по технологии </w:t>
      </w:r>
      <w:r w:rsidRPr="00300A9B">
        <w:rPr>
          <w:rFonts w:ascii="Times New Roman" w:eastAsia="TimesNewRomanPSMT" w:hAnsi="Times New Roman"/>
          <w:sz w:val="24"/>
          <w:szCs w:val="24"/>
          <w:lang w:val="en-US" w:eastAsia="ru-RU"/>
        </w:rPr>
        <w:t>strip</w:t>
      </w: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-</w:t>
      </w:r>
      <w:r w:rsidRPr="00300A9B">
        <w:rPr>
          <w:rFonts w:ascii="Times New Roman" w:eastAsia="TimesNewRomanPSMT" w:hAnsi="Times New Roman"/>
          <w:sz w:val="24"/>
          <w:szCs w:val="24"/>
          <w:lang w:val="en-US" w:eastAsia="ru-RU"/>
        </w:rPr>
        <w:t>till</w:t>
      </w: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 в севообороте</w:t>
      </w:r>
      <w:proofErr w:type="gramStart"/>
      <w:r w:rsidRPr="00300A9B">
        <w:rPr>
          <w:rFonts w:ascii="Times New Roman" w:eastAsia="TimesNewRomanPSMT" w:hAnsi="Times New Roman"/>
          <w:sz w:val="24"/>
          <w:szCs w:val="24"/>
          <w:lang w:val="en-US" w:eastAsia="ru-RU"/>
        </w:rPr>
        <w:t>l</w:t>
      </w:r>
      <w:proofErr w:type="gramEnd"/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Сущность ресурсосберегающих технологий возделывания зерновых культур.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Сущность ресурсосберегающих технологий возделывания технических культур.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Основные принципы ресурсосберегающей системы обработки почвы 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Основные принципы возделывания сельскохозяйственных культур по технологии </w:t>
      </w:r>
      <w:r w:rsidRPr="00300A9B">
        <w:rPr>
          <w:rFonts w:ascii="Times New Roman" w:eastAsia="TimesNewRomanPSMT" w:hAnsi="Times New Roman"/>
          <w:sz w:val="24"/>
          <w:szCs w:val="24"/>
          <w:lang w:val="en-US" w:eastAsia="ru-RU"/>
        </w:rPr>
        <w:t>no</w:t>
      </w: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-</w:t>
      </w:r>
      <w:r w:rsidRPr="00300A9B">
        <w:rPr>
          <w:rFonts w:ascii="Times New Roman" w:eastAsia="TimesNewRomanPSMT" w:hAnsi="Times New Roman"/>
          <w:sz w:val="24"/>
          <w:szCs w:val="24"/>
          <w:lang w:val="en-US" w:eastAsia="ru-RU"/>
        </w:rPr>
        <w:t>till</w:t>
      </w: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 в севообороте</w:t>
      </w:r>
      <w:proofErr w:type="gramStart"/>
      <w:r w:rsidRPr="00300A9B">
        <w:rPr>
          <w:rFonts w:ascii="Times New Roman" w:eastAsia="TimesNewRomanPSMT" w:hAnsi="Times New Roman"/>
          <w:sz w:val="24"/>
          <w:szCs w:val="24"/>
          <w:lang w:val="en-US" w:eastAsia="ru-RU"/>
        </w:rPr>
        <w:t>l</w:t>
      </w:r>
      <w:proofErr w:type="gramEnd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512243" w:rsidRPr="00300A9B" w:rsidRDefault="00512243" w:rsidP="005122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00A9B">
        <w:rPr>
          <w:rFonts w:ascii="Times New Roman" w:eastAsia="TimesNewRomanPSMT" w:hAnsi="Times New Roman"/>
          <w:sz w:val="24"/>
          <w:szCs w:val="24"/>
        </w:rPr>
        <w:t xml:space="preserve">Основные принципы возделывания зерновых культур по технологии </w:t>
      </w:r>
      <w:r w:rsidRPr="00300A9B">
        <w:rPr>
          <w:rFonts w:ascii="Times New Roman" w:eastAsia="TimesNewRomanPSMT" w:hAnsi="Times New Roman"/>
          <w:sz w:val="24"/>
          <w:szCs w:val="24"/>
          <w:lang w:val="en-US"/>
        </w:rPr>
        <w:t>no</w:t>
      </w:r>
      <w:r w:rsidRPr="00300A9B">
        <w:rPr>
          <w:rFonts w:ascii="Times New Roman" w:eastAsia="TimesNewRomanPSMT" w:hAnsi="Times New Roman"/>
          <w:sz w:val="24"/>
          <w:szCs w:val="24"/>
        </w:rPr>
        <w:t>-</w:t>
      </w:r>
      <w:r w:rsidRPr="00300A9B">
        <w:rPr>
          <w:rFonts w:ascii="Times New Roman" w:eastAsia="TimesNewRomanPSMT" w:hAnsi="Times New Roman"/>
          <w:sz w:val="24"/>
          <w:szCs w:val="24"/>
          <w:lang w:val="en-US"/>
        </w:rPr>
        <w:t>till</w:t>
      </w:r>
    </w:p>
    <w:p w:rsidR="00512243" w:rsidRPr="00300A9B" w:rsidRDefault="00512243" w:rsidP="005122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00A9B">
        <w:rPr>
          <w:rFonts w:ascii="Times New Roman" w:eastAsia="TimesNewRomanPSMT" w:hAnsi="Times New Roman"/>
          <w:sz w:val="24"/>
          <w:szCs w:val="24"/>
        </w:rPr>
        <w:t xml:space="preserve">Основные принципы возделывания технических культур по технологии </w:t>
      </w:r>
      <w:r w:rsidRPr="00300A9B">
        <w:rPr>
          <w:rFonts w:ascii="Times New Roman" w:eastAsia="TimesNewRomanPSMT" w:hAnsi="Times New Roman"/>
          <w:sz w:val="24"/>
          <w:szCs w:val="24"/>
          <w:lang w:val="en-US"/>
        </w:rPr>
        <w:t>no</w:t>
      </w:r>
      <w:r w:rsidRPr="00300A9B">
        <w:rPr>
          <w:rFonts w:ascii="Times New Roman" w:eastAsia="TimesNewRomanPSMT" w:hAnsi="Times New Roman"/>
          <w:sz w:val="24"/>
          <w:szCs w:val="24"/>
        </w:rPr>
        <w:t>-</w:t>
      </w:r>
      <w:r w:rsidRPr="00300A9B">
        <w:rPr>
          <w:rFonts w:ascii="Times New Roman" w:eastAsia="TimesNewRomanPSMT" w:hAnsi="Times New Roman"/>
          <w:sz w:val="24"/>
          <w:szCs w:val="24"/>
          <w:lang w:val="en-US"/>
        </w:rPr>
        <w:t>till</w:t>
      </w:r>
    </w:p>
    <w:p w:rsidR="00512243" w:rsidRPr="00300A9B" w:rsidRDefault="00512243" w:rsidP="005122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00A9B">
        <w:rPr>
          <w:rFonts w:ascii="Times New Roman" w:eastAsia="TimesNewRomanPSMT" w:hAnsi="Times New Roman"/>
          <w:sz w:val="24"/>
          <w:szCs w:val="24"/>
        </w:rPr>
        <w:t xml:space="preserve">Основные принципы возделывания зернобобовых культур по технологии </w:t>
      </w:r>
      <w:r w:rsidRPr="00300A9B">
        <w:rPr>
          <w:rFonts w:ascii="Times New Roman" w:eastAsia="TimesNewRomanPSMT" w:hAnsi="Times New Roman"/>
          <w:sz w:val="24"/>
          <w:szCs w:val="24"/>
          <w:lang w:val="en-US"/>
        </w:rPr>
        <w:t>no</w:t>
      </w:r>
      <w:r w:rsidRPr="00300A9B">
        <w:rPr>
          <w:rFonts w:ascii="Times New Roman" w:eastAsia="TimesNewRomanPSMT" w:hAnsi="Times New Roman"/>
          <w:sz w:val="24"/>
          <w:szCs w:val="24"/>
        </w:rPr>
        <w:t>-</w:t>
      </w:r>
      <w:proofErr w:type="spellStart"/>
      <w:r w:rsidRPr="00300A9B">
        <w:rPr>
          <w:rFonts w:ascii="Times New Roman" w:eastAsia="TimesNewRomanPSMT" w:hAnsi="Times New Roman"/>
          <w:sz w:val="24"/>
          <w:szCs w:val="24"/>
          <w:lang w:val="en-US"/>
        </w:rPr>
        <w:t>til</w:t>
      </w:r>
      <w:proofErr w:type="spellEnd"/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Понятие о ландшафте, виды, классификация ландшафтов и их краткая характеристика</w:t>
      </w:r>
      <w:proofErr w:type="gramStart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,.</w:t>
      </w:r>
      <w:proofErr w:type="gramEnd"/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Понятие об </w:t>
      </w:r>
      <w:proofErr w:type="spellStart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агроландшафте</w:t>
      </w:r>
      <w:proofErr w:type="spellEnd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, сущность </w:t>
      </w:r>
      <w:proofErr w:type="gramStart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полевых</w:t>
      </w:r>
      <w:proofErr w:type="gramEnd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 и лугово-пастбищных </w:t>
      </w:r>
      <w:proofErr w:type="spellStart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агроландшафтов</w:t>
      </w:r>
      <w:proofErr w:type="spellEnd"/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Классификация адаптивно-ландшафтных систем земледелия.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Агроэкологическая оценка и группировка земель, ее значение при разработке элементов адаптивно-ландшафтного земледелия.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Понятие и стратегия инновационной деятельности в области хранения</w:t>
      </w:r>
    </w:p>
    <w:p w:rsidR="00512243" w:rsidRPr="00300A9B" w:rsidRDefault="00512243" w:rsidP="00512243">
      <w:pPr>
        <w:spacing w:after="0" w:line="240" w:lineRule="auto"/>
        <w:ind w:left="502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и переработки продукции растениеводства.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Приоритетные направления развития хранения  и переработки  продукции растениеводства в АПК России.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Инновационные методы хранения зерна.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Теоретические основы программирования урожаев сельскохозяйственных культур.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Методы программирования урожая сельскохозяйственных культур.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Учет влияния факторов внешней среды на формирование урожаев и основные пути их рационального использования.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Агрохимические основы и практические приемы программирования урожаев сельскохозяйственных культур.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Факторы почвообразования  и их характеристика. </w:t>
      </w:r>
    </w:p>
    <w:p w:rsidR="00512243" w:rsidRPr="00300A9B" w:rsidRDefault="00512243" w:rsidP="005122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A9B">
        <w:rPr>
          <w:rFonts w:ascii="Times New Roman" w:hAnsi="Times New Roman"/>
          <w:sz w:val="24"/>
          <w:szCs w:val="24"/>
        </w:rPr>
        <w:t>Принципы современной классификации почв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почвенного покрова  Ставропольского края и состояние их плодородия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Общие методы решения проблем плодородия почв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Методы химической мелиорации солонцевато-слитых почв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Агрохимическое обследование почв - цель, задачи, значение.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организация работ по агрохимическому обследованию почв.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Сущность мониторинга почв и основные показатели почвенного плодородия.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Виды мониторинга земель (почвенного покрова, биологической активности, агрофизических свойств).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Мониторинг негативных процессов в земледелии (эрозия, засоление, подтопление, переувлажнение и заболачивание).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Биохимические и химические методы исследований растений и почвы.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Понятие инструментальных методов исследований.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Современные методы агрохимических, агрофизических и биологических исследований (анализов) почвы и растения.</w:t>
      </w:r>
    </w:p>
    <w:p w:rsidR="00512243" w:rsidRPr="00300A9B" w:rsidRDefault="00512243" w:rsidP="005122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Современные инструментальные методы определение базовых характеристик агрохимического состояния почвы.</w:t>
      </w:r>
    </w:p>
    <w:p w:rsidR="00512243" w:rsidRPr="00300A9B" w:rsidRDefault="00512243" w:rsidP="00512243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B19" w:rsidRPr="00300A9B" w:rsidRDefault="00051B19" w:rsidP="00051B19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00A9B">
        <w:rPr>
          <w:rFonts w:ascii="Times New Roman" w:hAnsi="Times New Roman"/>
          <w:b/>
          <w:sz w:val="24"/>
          <w:szCs w:val="24"/>
        </w:rPr>
        <w:t xml:space="preserve">Теоретические вопросы </w:t>
      </w:r>
      <w:r w:rsidRPr="00300A9B">
        <w:rPr>
          <w:rFonts w:ascii="Times New Roman" w:hAnsi="Times New Roman"/>
          <w:b/>
          <w:sz w:val="24"/>
          <w:szCs w:val="24"/>
          <w:lang w:eastAsia="ru-RU"/>
        </w:rPr>
        <w:t>дисциплин магистерской программы</w:t>
      </w:r>
    </w:p>
    <w:p w:rsidR="00512243" w:rsidRPr="00300A9B" w:rsidRDefault="00512243" w:rsidP="00512243">
      <w:pPr>
        <w:spacing w:after="0" w:line="240" w:lineRule="auto"/>
        <w:ind w:left="502"/>
        <w:contextualSpacing/>
        <w:jc w:val="center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Определение норм удобрений при программировании урожаев сельскохозяйственных культур (методы, основанные на обобщении результатов полевых опытов, расчетные балансовые методы, математические методы).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Комплексные методы листовой и почвенной диагностики (программа коррекции). Зональные нормативы листовой и почвенной диагностики.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Химический состав растений, потребность их в основных элементах питания, периодичность поступления питательных веществ в растения, способы и методы его регулирования.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Свойства и условия эффективного применения микроудобрений.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Условия совместного применения удобрений и средств защиты.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Основные принципы распределения удобрений по способам внесения в севообороте.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Особенности применения удобрений в технологии NO-TILL.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Дифференцированное внесение удобрений и экономический эффект.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Сравнительный анализ координатного и классического земледелия.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Роль системы удобрений в планировании урожайности сельскохозяйственных культур в адаптивно-ландшафтном земледелии.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Современные машины для внесения минеральных и органических удобрений.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Использование агрохимических картограмм при разработке системы удобрения в адаптивно-ландшафтном земледелии.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Физиологическая роль серы, кальция, магния, железа, кремния в питании растений.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Физиологическая роль микроэлементов меди, марганца, молибдена, кобальта, бора в питании растений.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Физиологические основы и принципы применения удобрений.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Применение синтетических регуляторов роста растений в сельскохозяйственной практике.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4"/>
          <w:lang w:eastAsia="ru-RU"/>
        </w:rPr>
        <w:t>Получение и применение фитогормонов в сельскохозяйственной практике, и развитие растений.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Методологические основы, виды и уровни научных исследований при изучении удобрений.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Планирование наблюдений и учетов. Сроки и частота проведения наблюдений и учетов при изучении удобрений.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Основные условия, принципы и особенности закладки вегетационного опыта при изучении удобрений.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Основные условия, принципы и особенности закладки полевого опыта при изучении удобрений.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 xml:space="preserve">Постановка сельскохозяйственных опытов с удобрениями в условиях сельскохозяйственных предприятий. 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Методика проведения опытов с удобрениями по изучению отдельных агротехнических приемов.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Статистическая оценка результатов исследований. Характеристика основных методов статистической обработки.</w:t>
      </w:r>
    </w:p>
    <w:p w:rsidR="00512243" w:rsidRPr="00300A9B" w:rsidRDefault="00512243" w:rsidP="005122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300A9B">
        <w:rPr>
          <w:rFonts w:ascii="Times New Roman" w:eastAsia="TimesNewRomanPSMT" w:hAnsi="Times New Roman"/>
          <w:sz w:val="24"/>
          <w:szCs w:val="24"/>
          <w:lang w:eastAsia="ru-RU"/>
        </w:rPr>
        <w:t>Значение и условия проведения лабораторного эксперимента в опытах с удобрениями.</w:t>
      </w:r>
    </w:p>
    <w:p w:rsidR="00512243" w:rsidRPr="00300A9B" w:rsidRDefault="00512243" w:rsidP="00512243">
      <w:pPr>
        <w:spacing w:after="0" w:line="240" w:lineRule="auto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</w:p>
    <w:p w:rsidR="00051B19" w:rsidRPr="00300A9B" w:rsidRDefault="00051B19" w:rsidP="00051B1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00A9B">
        <w:rPr>
          <w:rFonts w:ascii="Times New Roman" w:hAnsi="Times New Roman"/>
          <w:b/>
          <w:bCs/>
          <w:sz w:val="23"/>
          <w:szCs w:val="23"/>
          <w:lang w:eastAsia="ru-RU"/>
        </w:rPr>
        <w:t>Практико-ориентированные задания дисциплин магистерской программы</w:t>
      </w:r>
    </w:p>
    <w:p w:rsidR="008B1B7F" w:rsidRPr="00300A9B" w:rsidRDefault="008B1B7F" w:rsidP="00051B19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Определить норму внесения минеральных удобрений под озимую пшеницу при планируемой урожайности 5 т/га на чернозёме обыкновенном по предшественнику горох. Содержание в почве подвижных форм элементов: </w:t>
      </w:r>
      <w:r w:rsidRPr="00300A9B">
        <w:rPr>
          <w:rFonts w:ascii="Times New Roman" w:eastAsia="Times New Roman" w:hAnsi="Times New Roman"/>
          <w:sz w:val="24"/>
          <w:szCs w:val="20"/>
          <w:lang w:val="en-US" w:eastAsia="ru-RU"/>
        </w:rPr>
        <w:t>N</w:t>
      </w: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– 26, Р2О5 - 20, К2О - 370 мг на 1 кг почвы.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Озимая пшеница возделывается на </w:t>
      </w: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чернозёме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выщелоченном по предшественнику озимая пшеница. Внесено </w:t>
      </w: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под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предшественник N100P80K40. Содержание в почве подвижных форм элементов, мг/кг: N-28, P2O5-20, K2O-164. Разработать систему удобрения для сельскохозяйственной культуры и рассчитать физическую массу удобрений (нитроаммофоска, аммиачная селитра, карбамид, аммофос).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Озимая пшеница возделывается на </w:t>
      </w: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чернозёме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выщелоченном по предшественнику кукуруза на зерно. Внесено </w:t>
      </w: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под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предшественник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NPK: навоз 60 т/га. Содержание в почве подвижных форм элементов, мг/кг: N-23, P2O5-21, K2O-188. Разработать систему удобрения для сельскохозяйственной культуры и рассчитать физическую массу удобрений (карбамид, аммофос, хлористый калий, аммофос).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Под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предшественник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озимой пшеницы было внесено 40 т/га навоза КРС. Под озимую пшеницу (площадь посева) до посева требуется внести всего N40P60K40. Уточните дозу минерального удобрения с учетом последействия навоза. Предложите наиболее эффективные удобрения и рассчитайте их физическую массу в ц/га.</w:t>
      </w: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cr/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Определить норму внесения удобрений под планируемую урожайность кукурузы на силос 500 ц/га. Почва – чернозём обыкновенный. Содержание подвижных форм элементов: N-30 мг на 1 кг почвы, P2O5 - 30 мг на 1 кг почвы, К2О - 336 мг на 1 кг почвы. 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Рассчитать норму удобрения для чернозёма обыкновенного под планируемую урожайность подсолнечника 28 ц/га при содержании в почве, мг/кг: N – 25, P2O5 и К2О по </w:t>
      </w:r>
      <w:proofErr w:type="spell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Мачигину</w:t>
      </w:r>
      <w:proofErr w:type="spell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– 36 и 250 мг/кг балансовым методом на основе коэффициентов использования питательных веществ из почвы и удобрений.</w:t>
      </w: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cr/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Рассчитать годовую потребность в минеральных удобрениях для проведения подкормки сахарной свёклы аммиачной селитрой в дозе </w:t>
      </w:r>
      <w:r w:rsidRPr="00300A9B">
        <w:rPr>
          <w:rFonts w:ascii="Times New Roman" w:eastAsia="Times New Roman" w:hAnsi="Times New Roman"/>
          <w:sz w:val="24"/>
          <w:szCs w:val="20"/>
          <w:lang w:val="en-US" w:eastAsia="ru-RU"/>
        </w:rPr>
        <w:t>N</w:t>
      </w: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30 на площади 500 га. Почвы – чернозём обыкновенный.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Рассчитать годовую потребность в минеральных удобрениях для проведения подкормок озимой пшеницы аммиачной селитрой в дозе N51 и мочевиной в дозе N20 на площади 300 га на каштановых почвах.</w:t>
      </w:r>
    </w:p>
    <w:p w:rsidR="008B1B7F" w:rsidRPr="00300A9B" w:rsidRDefault="008B1B7F" w:rsidP="008B1B7F">
      <w:pPr>
        <w:pStyle w:val="a4"/>
        <w:numPr>
          <w:ilvl w:val="0"/>
          <w:numId w:val="5"/>
        </w:num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24"/>
          <w:szCs w:val="20"/>
        </w:rPr>
      </w:pPr>
      <w:r w:rsidRPr="00300A9B">
        <w:rPr>
          <w:rFonts w:ascii="Times New Roman" w:hAnsi="Times New Roman"/>
          <w:sz w:val="24"/>
          <w:szCs w:val="20"/>
        </w:rPr>
        <w:lastRenderedPageBreak/>
        <w:t>Разработать систему удобрения гороха при возделывании на черноземе обыкновенном по предшественнику кукуруза на зерно и рассчитать годовую потребность в минеральных удобрениях при площади под культурой 280 га.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Рассчитать годовую потребность в минеральных удобрениях для проведения двух подкормок озимой пшеницы аммиачной селитрой в дозе N51 и N35 на площади 500 га.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Выбрать виды минеральных удобрений и рассчитать годовую потребность в них для внесения под озимую пшеницу при норме N60Р60К40 на площади 500 га.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Имеются в наличии аммиачная селитра, аммофос, калий хлористый. Рассчитать потребность в минеральных удобрениях для внесения под сахарную свёклу нормы N120Р120К120 на площади 500 га по чернозёму обыкновенному. 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Выбрать виды минеральных удобрений и рассчитать потребность в них для припосевного внесения на чернозёме обыкновенном под подсолнечник N20Р30 на площади 500 га.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Рассчитать потребность в минеральных удобрениях для подкормки подсолнечника в фазу 2-3 настоящих листьев в дозе N30 на площади 500 га.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Рассчитать потребность в минеральных удобрениях при внесении под кукурузу нормы N60Р40К30 на каштановых почвах, если в хозяйстве имеются: аммиачная селитра, аммофос и нитроаммофоска.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Составить систему удобрения кукурузы на зерно, возделываемой на орошении в зоне неустойчивого увлажнения на чернозёмных почвах со средней обеспеченностью основными элементами питания по предшественнику озимая пшеница. Рассчитать годовую потребность в минеральных удобрениях под данную культуру для орошаемой площади 300 га.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Составить систему удобрения озимой пшеницы, возделываемой в зоне неустойчивого увлажнения по технологии NO-TILL после озимой пшеницы на почвах среднеобеспеченных основными элементами питания, и рассчитать годовую потребность в удобрениях на площадь 300 га, если хозяйством закуплены ЖКУ, КАС, аммофос.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Составить систему удобрения подсолнечника, возделываемого в зоне неустойчивого увлажнения по технологии NO-TILL после озимой пшеницы, и рассчитать годовую потребность в удобрениях на площадь 180 га.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Разработать систему удобрения сои на </w:t>
      </w: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черноземе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выщелоченном по предшественнику кукуруза на зерно и рассчитать годовую потребность в минеральных удобрениях. Внесено </w:t>
      </w:r>
      <w:proofErr w:type="gramStart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под</w:t>
      </w:r>
      <w:proofErr w:type="gramEnd"/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 xml:space="preserve"> предшественник N90P60K60. Содержание в почве подвижных форм, мг/кг: N-18, P2O5-42, K2O-230. Имеются удобрения: сульфат аммония, диаммофос, аммиачная селитра, калий хлористый.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Для проведения некорневой подкормки озимой пшеницы с целью повышения качества зерна сельскохозяйственное предприятие заготовило 25 т мочевины. На какой площади можно провести подкормку озимой пшеницы дозой N20?</w:t>
      </w:r>
    </w:p>
    <w:p w:rsidR="008B1B7F" w:rsidRPr="00300A9B" w:rsidRDefault="008B1B7F" w:rsidP="008B1B7F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00A9B">
        <w:rPr>
          <w:rFonts w:ascii="Times New Roman" w:eastAsia="Times New Roman" w:hAnsi="Times New Roman"/>
          <w:sz w:val="24"/>
          <w:szCs w:val="20"/>
          <w:lang w:eastAsia="ru-RU"/>
        </w:rPr>
        <w:t>Рассчитать дозу навоза на 1 га при внесении под кукурузу на силос (площадь 260 га), если в хозяйстве имеется 1000 голов КРС (взрослых) на стойловом содержании.</w:t>
      </w:r>
    </w:p>
    <w:p w:rsidR="008B1B7F" w:rsidRPr="00300A9B" w:rsidRDefault="008B1B7F" w:rsidP="008B1B7F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0"/>
        </w:rPr>
      </w:pPr>
      <w:r w:rsidRPr="00300A9B">
        <w:rPr>
          <w:rFonts w:ascii="Times New Roman" w:hAnsi="Times New Roman"/>
          <w:sz w:val="24"/>
          <w:szCs w:val="20"/>
        </w:rPr>
        <w:t>Разработать систему удобрения озимой пшеницы при возделывании в засушливой зоне на каштановых почвах по чистому пару. Рассчитать необходимое количество минеральных удобрений и определить необходимые площади для их хранения. Площадь озимой пшеницы 450 га.</w:t>
      </w:r>
    </w:p>
    <w:p w:rsidR="008B1B7F" w:rsidRPr="00300A9B" w:rsidRDefault="008B1B7F" w:rsidP="008B1B7F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0"/>
        </w:rPr>
      </w:pPr>
      <w:r w:rsidRPr="00300A9B">
        <w:rPr>
          <w:rFonts w:ascii="Times New Roman" w:hAnsi="Times New Roman"/>
          <w:sz w:val="24"/>
          <w:szCs w:val="20"/>
        </w:rPr>
        <w:t xml:space="preserve">Составить </w:t>
      </w:r>
      <w:proofErr w:type="spellStart"/>
      <w:r w:rsidRPr="00300A9B">
        <w:rPr>
          <w:rFonts w:ascii="Times New Roman" w:hAnsi="Times New Roman"/>
          <w:sz w:val="24"/>
          <w:szCs w:val="20"/>
        </w:rPr>
        <w:t>десятипольный</w:t>
      </w:r>
      <w:proofErr w:type="spellEnd"/>
      <w:r w:rsidRPr="00300A9B">
        <w:rPr>
          <w:rFonts w:ascii="Times New Roman" w:hAnsi="Times New Roman"/>
          <w:sz w:val="24"/>
          <w:szCs w:val="20"/>
        </w:rPr>
        <w:t xml:space="preserve"> севооборот для зоны неустойчивого увлажнения с насыщением озимыми зерновыми культурами 40 %, яровыми зерновыми культурами 10 %, пропашными 40 %, зернобобовыми 10% при возделывании по  нулевой технологии</w:t>
      </w:r>
    </w:p>
    <w:p w:rsidR="008B1B7F" w:rsidRPr="00300A9B" w:rsidRDefault="008B1B7F" w:rsidP="008B1B7F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0"/>
        </w:rPr>
      </w:pPr>
      <w:r w:rsidRPr="00300A9B">
        <w:rPr>
          <w:rFonts w:ascii="Times New Roman" w:hAnsi="Times New Roman"/>
          <w:sz w:val="24"/>
          <w:szCs w:val="20"/>
        </w:rPr>
        <w:lastRenderedPageBreak/>
        <w:t xml:space="preserve">Составить </w:t>
      </w:r>
      <w:proofErr w:type="spellStart"/>
      <w:r w:rsidRPr="00300A9B">
        <w:rPr>
          <w:rFonts w:ascii="Times New Roman" w:hAnsi="Times New Roman"/>
          <w:sz w:val="24"/>
          <w:szCs w:val="20"/>
        </w:rPr>
        <w:t>десятипольный</w:t>
      </w:r>
      <w:proofErr w:type="spellEnd"/>
      <w:r w:rsidRPr="00300A9B">
        <w:rPr>
          <w:rFonts w:ascii="Times New Roman" w:hAnsi="Times New Roman"/>
          <w:sz w:val="24"/>
          <w:szCs w:val="20"/>
        </w:rPr>
        <w:t xml:space="preserve"> севооборот для засушливой зоны с насыщением зерновыми культурами 60 %, пропашными 20 %, зернобобовыми культурами 20 % при возделывании по  ресурсосберегающей технологии</w:t>
      </w:r>
    </w:p>
    <w:p w:rsidR="008B1B7F" w:rsidRDefault="008B1B7F" w:rsidP="008B1B7F">
      <w:pPr>
        <w:pStyle w:val="a4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sz w:val="24"/>
          <w:szCs w:val="20"/>
        </w:rPr>
      </w:pPr>
      <w:r w:rsidRPr="00300A9B">
        <w:rPr>
          <w:rFonts w:ascii="Times New Roman" w:hAnsi="Times New Roman"/>
          <w:sz w:val="24"/>
          <w:szCs w:val="20"/>
        </w:rPr>
        <w:t xml:space="preserve">Составить </w:t>
      </w:r>
      <w:proofErr w:type="spellStart"/>
      <w:r w:rsidRPr="00300A9B">
        <w:rPr>
          <w:rFonts w:ascii="Times New Roman" w:hAnsi="Times New Roman"/>
          <w:sz w:val="24"/>
          <w:szCs w:val="20"/>
        </w:rPr>
        <w:t>восьмипольный</w:t>
      </w:r>
      <w:proofErr w:type="spellEnd"/>
      <w:r w:rsidRPr="00300A9B">
        <w:rPr>
          <w:rFonts w:ascii="Times New Roman" w:hAnsi="Times New Roman"/>
          <w:sz w:val="24"/>
          <w:szCs w:val="20"/>
        </w:rPr>
        <w:t xml:space="preserve"> севооборот для зоны неустойчивого увлажнения с насыщением зерновыми культурами 37,5 %, пропашными 37,5 %, занятыми парами 12,5 %, зернобобовыми культурами- 12,5 %  при возделывании по  ресурсосберегающей технологии</w:t>
      </w:r>
    </w:p>
    <w:p w:rsidR="00572149" w:rsidRPr="00300A9B" w:rsidRDefault="00572149" w:rsidP="00572149">
      <w:pPr>
        <w:pStyle w:val="a4"/>
        <w:spacing w:before="120" w:after="120"/>
        <w:jc w:val="both"/>
        <w:rPr>
          <w:rFonts w:ascii="Times New Roman" w:hAnsi="Times New Roman"/>
          <w:sz w:val="24"/>
          <w:szCs w:val="20"/>
        </w:rPr>
      </w:pPr>
    </w:p>
    <w:p w:rsidR="00572149" w:rsidRPr="00572149" w:rsidRDefault="00572149" w:rsidP="0057214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bookmarkStart w:id="0" w:name="_GoBack"/>
      <w:r w:rsidRPr="00572149">
        <w:rPr>
          <w:rFonts w:ascii="Times New Roman" w:hAnsi="Times New Roman"/>
          <w:sz w:val="24"/>
          <w:szCs w:val="28"/>
        </w:rPr>
        <w:t>Утверждено на заседании учебно-методической комиссии факультета агробиологии и земельных ресурсов, протокол №1 от «21» сентября 2022 г.</w:t>
      </w:r>
    </w:p>
    <w:p w:rsidR="00572149" w:rsidRPr="00572149" w:rsidRDefault="00572149" w:rsidP="0057214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</w:p>
    <w:p w:rsidR="00572149" w:rsidRPr="00572149" w:rsidRDefault="00572149" w:rsidP="0057214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</w:p>
    <w:p w:rsidR="00572149" w:rsidRPr="00572149" w:rsidRDefault="00572149" w:rsidP="0057214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572149">
        <w:rPr>
          <w:rFonts w:ascii="Times New Roman" w:hAnsi="Times New Roman"/>
          <w:sz w:val="24"/>
          <w:szCs w:val="28"/>
        </w:rPr>
        <w:t>Председатель учебно-методической комиссии</w:t>
      </w:r>
    </w:p>
    <w:p w:rsidR="00572149" w:rsidRPr="00572149" w:rsidRDefault="00572149" w:rsidP="0057214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572149">
        <w:rPr>
          <w:rFonts w:ascii="Times New Roman" w:hAnsi="Times New Roman"/>
          <w:sz w:val="24"/>
          <w:szCs w:val="28"/>
        </w:rPr>
        <w:t xml:space="preserve">факультетов агробиологии и земельных </w:t>
      </w:r>
    </w:p>
    <w:p w:rsidR="00572149" w:rsidRPr="00572149" w:rsidRDefault="00572149" w:rsidP="0057214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572149">
        <w:rPr>
          <w:rFonts w:ascii="Times New Roman" w:hAnsi="Times New Roman"/>
          <w:sz w:val="24"/>
          <w:szCs w:val="28"/>
        </w:rPr>
        <w:t>ресурсов и экологии и ландшафтной архитектуры,</w:t>
      </w:r>
    </w:p>
    <w:p w:rsidR="00572149" w:rsidRPr="00572149" w:rsidRDefault="00572149" w:rsidP="0057214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  <w:r w:rsidRPr="00572149">
        <w:rPr>
          <w:rFonts w:ascii="Times New Roman" w:hAnsi="Times New Roman"/>
          <w:sz w:val="24"/>
          <w:szCs w:val="28"/>
        </w:rPr>
        <w:t>к.х.н., доцент</w:t>
      </w:r>
      <w:r w:rsidRPr="00572149">
        <w:rPr>
          <w:rFonts w:ascii="Times New Roman" w:hAnsi="Times New Roman"/>
          <w:sz w:val="24"/>
          <w:szCs w:val="28"/>
        </w:rPr>
        <w:tab/>
      </w:r>
      <w:r w:rsidRPr="00572149">
        <w:rPr>
          <w:rFonts w:ascii="Times New Roman" w:hAnsi="Times New Roman"/>
          <w:sz w:val="24"/>
          <w:szCs w:val="28"/>
        </w:rPr>
        <w:tab/>
      </w:r>
      <w:r w:rsidRPr="00572149">
        <w:rPr>
          <w:rFonts w:ascii="Times New Roman" w:hAnsi="Times New Roman"/>
          <w:sz w:val="24"/>
          <w:szCs w:val="28"/>
        </w:rPr>
        <w:tab/>
      </w:r>
      <w:r w:rsidRPr="00572149">
        <w:rPr>
          <w:rFonts w:ascii="Times New Roman" w:hAnsi="Times New Roman"/>
          <w:sz w:val="24"/>
          <w:szCs w:val="28"/>
        </w:rPr>
        <w:tab/>
      </w:r>
      <w:r w:rsidRPr="00572149">
        <w:rPr>
          <w:rFonts w:ascii="Times New Roman" w:hAnsi="Times New Roman"/>
          <w:sz w:val="24"/>
          <w:szCs w:val="28"/>
        </w:rPr>
        <w:tab/>
      </w:r>
      <w:r w:rsidRPr="00572149">
        <w:rPr>
          <w:rFonts w:ascii="Times New Roman" w:hAnsi="Times New Roman"/>
          <w:sz w:val="24"/>
          <w:szCs w:val="28"/>
        </w:rPr>
        <w:tab/>
      </w:r>
      <w:r w:rsidRPr="00572149">
        <w:rPr>
          <w:rFonts w:ascii="Times New Roman" w:hAnsi="Times New Roman"/>
          <w:sz w:val="24"/>
          <w:szCs w:val="28"/>
        </w:rPr>
        <w:tab/>
      </w:r>
      <w:r w:rsidRPr="00572149">
        <w:rPr>
          <w:rFonts w:ascii="Times New Roman" w:hAnsi="Times New Roman"/>
          <w:sz w:val="24"/>
          <w:szCs w:val="28"/>
        </w:rPr>
        <w:tab/>
      </w:r>
      <w:r w:rsidRPr="00572149">
        <w:rPr>
          <w:rFonts w:ascii="Times New Roman" w:hAnsi="Times New Roman"/>
          <w:sz w:val="24"/>
          <w:szCs w:val="28"/>
        </w:rPr>
        <w:tab/>
        <w:t xml:space="preserve">А.Н. </w:t>
      </w:r>
      <w:proofErr w:type="spellStart"/>
      <w:r w:rsidRPr="00572149">
        <w:rPr>
          <w:rFonts w:ascii="Times New Roman" w:hAnsi="Times New Roman"/>
          <w:sz w:val="24"/>
          <w:szCs w:val="28"/>
        </w:rPr>
        <w:t>Шипуля</w:t>
      </w:r>
      <w:proofErr w:type="spellEnd"/>
    </w:p>
    <w:bookmarkEnd w:id="0"/>
    <w:p w:rsidR="00572149" w:rsidRPr="00572149" w:rsidRDefault="00572149" w:rsidP="0057214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8"/>
        </w:rPr>
      </w:pPr>
    </w:p>
    <w:p w:rsidR="00BD5A61" w:rsidRPr="00300A9B" w:rsidRDefault="00BD5A61" w:rsidP="00572149">
      <w:pP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sectPr w:rsidR="00BD5A61" w:rsidRPr="00300A9B" w:rsidSect="005721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FC0"/>
    <w:multiLevelType w:val="hybridMultilevel"/>
    <w:tmpl w:val="55D4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0025"/>
    <w:multiLevelType w:val="hybridMultilevel"/>
    <w:tmpl w:val="BD645762"/>
    <w:lvl w:ilvl="0" w:tplc="9E48CA6C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8D788A"/>
    <w:multiLevelType w:val="hybridMultilevel"/>
    <w:tmpl w:val="F7341EB0"/>
    <w:lvl w:ilvl="0" w:tplc="86EA24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3890"/>
    <w:multiLevelType w:val="hybridMultilevel"/>
    <w:tmpl w:val="BD645762"/>
    <w:lvl w:ilvl="0" w:tplc="9E48CA6C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11E15D1"/>
    <w:multiLevelType w:val="hybridMultilevel"/>
    <w:tmpl w:val="31166138"/>
    <w:lvl w:ilvl="0" w:tplc="86EA24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DB"/>
    <w:rsid w:val="000277DB"/>
    <w:rsid w:val="00051B19"/>
    <w:rsid w:val="0006460B"/>
    <w:rsid w:val="000B31E0"/>
    <w:rsid w:val="00300A9B"/>
    <w:rsid w:val="00512243"/>
    <w:rsid w:val="00572149"/>
    <w:rsid w:val="005B2446"/>
    <w:rsid w:val="00733708"/>
    <w:rsid w:val="007A6488"/>
    <w:rsid w:val="00882EB2"/>
    <w:rsid w:val="008B1B7F"/>
    <w:rsid w:val="008F2803"/>
    <w:rsid w:val="00B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12243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512243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Абзац списка1"/>
    <w:basedOn w:val="a"/>
    <w:rsid w:val="00051B1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12243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512243"/>
    <w:pPr>
      <w:ind w:left="720"/>
      <w:contextualSpacing/>
    </w:pPr>
    <w:rPr>
      <w:rFonts w:eastAsia="Times New Roman"/>
      <w:lang w:eastAsia="ru-RU"/>
    </w:rPr>
  </w:style>
  <w:style w:type="paragraph" w:customStyle="1" w:styleId="1">
    <w:name w:val="Абзац списка1"/>
    <w:basedOn w:val="a"/>
    <w:rsid w:val="00051B1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5D47-D8F7-49B2-A1F2-E30ED44D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Люба</cp:lastModifiedBy>
  <cp:revision>11</cp:revision>
  <dcterms:created xsi:type="dcterms:W3CDTF">2022-05-16T09:15:00Z</dcterms:created>
  <dcterms:modified xsi:type="dcterms:W3CDTF">2023-05-12T12:04:00Z</dcterms:modified>
</cp:coreProperties>
</file>